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850"/>
        <w:jc w:val="both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 w:firstLine="0"/>
        <w:jc w:val="center"/>
        <w:rPr>
          <w:rFonts w:ascii="Times New Roman" w:hAnsi="Times New Roman"/>
          <w:b w:val="1"/>
          <w:color w:val="333333"/>
          <w:sz w:val="28"/>
        </w:rPr>
      </w:pPr>
      <w:r>
        <w:rPr>
          <w:rFonts w:ascii="Times New Roman" w:hAnsi="Times New Roman"/>
          <w:b w:val="1"/>
          <w:color w:val="333333"/>
          <w:sz w:val="28"/>
        </w:rPr>
        <w:t>Изменения в законодательстве, связанные с проведением проверок в сфере противодействия коррупции</w:t>
      </w:r>
    </w:p>
    <w:p w14:paraId="03000000">
      <w:pPr>
        <w:spacing w:after="0" w:line="240" w:lineRule="auto"/>
        <w:ind w:firstLine="850"/>
        <w:jc w:val="both"/>
        <w:rPr>
          <w:rFonts w:ascii="Times New Roman" w:hAnsi="Times New Roman"/>
          <w:color w:val="FFFFFF"/>
          <w:sz w:val="28"/>
          <w:shd w:fill="1E3685" w:val="clear"/>
        </w:rPr>
      </w:pPr>
    </w:p>
    <w:p w14:paraId="04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Федеральным законом от 28.12.2024 № 533-ФЗ внесены изменения Федеральный закон от 22.04.1996 № 39-ФЗ «О рынке ценных бумаг» и Федеральный закон от 30.12.2004 № 218-ФЗ «О кредитных историях», вступившие в силу 27.06.2025.</w:t>
      </w:r>
    </w:p>
    <w:p w14:paraId="05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Данные изменения направлены на совершенствование порядка проведения проверок достоверности и полноты сведений о доходах, расходах, об имуществе и обязательствах имущественного характера, соблюдения ограничений и запретов, требований о предотвращении или об урегулировании конфликта интересов, исполнения обязанностей, установленных в целях противодействия коррупции.</w:t>
      </w:r>
    </w:p>
    <w:p w14:paraId="06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Определен порядок предоставления держателями реестра владельцев ценных бумаг, депозитариями и бюро кредитных историй сведений, по запросам должностных лиц, направленным при проведении проверок в соответствии с законодательством о противодействии коррупции.</w:t>
      </w:r>
    </w:p>
    <w:p w14:paraId="07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Также Законом закреплена обязанность предоставления информации:</w:t>
      </w:r>
    </w:p>
    <w:p w14:paraId="08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- держателями реестра владельцев ценных бумаг и депозитариями сведений о ценных бумагах, принадлежащих лицам, в отношении которых направлен запрос;</w:t>
      </w:r>
    </w:p>
    <w:p w14:paraId="09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- бюро кредитных историй - информации о титульной, основной, дополнительной (закрытой) и информационной части кредитных историй;</w:t>
      </w:r>
    </w:p>
    <w:p w14:paraId="0A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- из Центрального каталога кредитных историй сведений о бюро кредитных историй, в которых хранится кредитная история субъекта кредитной истории, в отношении которого направлен запрос.</w:t>
      </w:r>
    </w:p>
    <w:p w14:paraId="0B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  <w:highlight w:val="white"/>
        </w:rPr>
        <w:t>Сроки и порядок предоставления держателями реестра владельцев ценных бумаг, депозитариями и бюро кредитных историй указанной информации устанавливаются Центральным банком Российской Федерации (Банком России).</w:t>
      </w:r>
    </w:p>
    <w:p w14:paraId="0C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2025-10-29T08:54:19Z</dcterms:modified>
</cp:coreProperties>
</file>